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C17F2" w14:textId="3710D13C" w:rsidR="000C2960" w:rsidRPr="000C2960" w:rsidRDefault="000C2960" w:rsidP="000C2960">
      <w:pPr>
        <w:spacing w:after="0" w:line="240" w:lineRule="auto"/>
        <w:jc w:val="center"/>
        <w:rPr>
          <w:rFonts w:ascii="Aptos Serif" w:eastAsia="Times New Roman" w:hAnsi="Aptos Serif" w:cs="Aptos Serif"/>
          <w:b/>
          <w:bCs/>
          <w:color w:val="1F1F1F"/>
          <w:kern w:val="0"/>
          <w:sz w:val="18"/>
          <w:szCs w:val="18"/>
          <w14:ligatures w14:val="none"/>
        </w:rPr>
      </w:pPr>
      <w:r w:rsidRPr="000C2960">
        <w:rPr>
          <w:rFonts w:ascii="Aptos Serif" w:eastAsia="Times New Roman" w:hAnsi="Aptos Serif" w:cs="Aptos Serif"/>
          <w:b/>
          <w:bCs/>
          <w:color w:val="1F1F1F"/>
          <w:kern w:val="0"/>
          <w:sz w:val="18"/>
          <w:szCs w:val="18"/>
          <w14:ligatures w14:val="none"/>
        </w:rPr>
        <w:t xml:space="preserve">Sample </w:t>
      </w:r>
      <w:r w:rsidR="009F7F5C">
        <w:rPr>
          <w:rFonts w:ascii="Aptos Serif" w:eastAsia="Times New Roman" w:hAnsi="Aptos Serif" w:cs="Aptos Serif"/>
          <w:b/>
          <w:bCs/>
          <w:color w:val="1F1F1F"/>
          <w:kern w:val="0"/>
          <w:sz w:val="18"/>
          <w:szCs w:val="18"/>
          <w14:ligatures w14:val="none"/>
        </w:rPr>
        <w:t>Tribal</w:t>
      </w:r>
      <w:r w:rsidRPr="000C2960">
        <w:rPr>
          <w:rFonts w:ascii="Aptos Serif" w:eastAsia="Times New Roman" w:hAnsi="Aptos Serif" w:cs="Aptos Serif"/>
          <w:b/>
          <w:bCs/>
          <w:color w:val="1F1F1F"/>
          <w:kern w:val="0"/>
          <w:sz w:val="18"/>
          <w:szCs w:val="18"/>
          <w14:ligatures w14:val="none"/>
        </w:rPr>
        <w:t xml:space="preserve"> Comment Letter:</w:t>
      </w:r>
    </w:p>
    <w:p w14:paraId="32846539" w14:textId="77777777" w:rsidR="000C2960" w:rsidRPr="000C2960" w:rsidRDefault="000C2960" w:rsidP="000C2960">
      <w:pPr>
        <w:rPr>
          <w:rFonts w:ascii="Aptos Serif" w:hAnsi="Aptos Serif" w:cs="Aptos Serif"/>
          <w:b/>
          <w:bCs/>
          <w:sz w:val="18"/>
          <w:szCs w:val="18"/>
        </w:rPr>
      </w:pPr>
    </w:p>
    <w:p w14:paraId="471128C7" w14:textId="4DF7B26A" w:rsidR="000C2960" w:rsidRPr="000C2960" w:rsidRDefault="000C2960" w:rsidP="000C2960">
      <w:pPr>
        <w:rPr>
          <w:rFonts w:ascii="Aptos Serif" w:hAnsi="Aptos Serif" w:cs="Aptos Serif"/>
          <w:sz w:val="20"/>
          <w:szCs w:val="20"/>
        </w:rPr>
      </w:pPr>
      <w:r w:rsidRPr="000C2960">
        <w:rPr>
          <w:rFonts w:ascii="Aptos Serif" w:hAnsi="Aptos Serif" w:cs="Aptos Serif"/>
          <w:b/>
          <w:bCs/>
          <w:sz w:val="20"/>
          <w:szCs w:val="20"/>
        </w:rPr>
        <w:t>[Date]</w:t>
      </w:r>
    </w:p>
    <w:p w14:paraId="78563F71" w14:textId="77777777" w:rsidR="000C2960" w:rsidRPr="000C2960" w:rsidRDefault="000C2960" w:rsidP="000C2960">
      <w:pPr>
        <w:rPr>
          <w:rFonts w:ascii="Aptos Serif" w:hAnsi="Aptos Serif" w:cs="Aptos Serif"/>
          <w:sz w:val="20"/>
          <w:szCs w:val="20"/>
        </w:rPr>
      </w:pPr>
      <w:r w:rsidRPr="000C2960">
        <w:rPr>
          <w:rFonts w:ascii="Aptos Serif" w:hAnsi="Aptos Serif" w:cs="Aptos Serif"/>
          <w:sz w:val="20"/>
          <w:szCs w:val="20"/>
        </w:rPr>
        <w:t>Best Interest Findings</w:t>
      </w:r>
      <w:r w:rsidRPr="000C2960">
        <w:rPr>
          <w:rFonts w:ascii="Aptos Serif" w:hAnsi="Aptos Serif" w:cs="Aptos Serif"/>
          <w:sz w:val="20"/>
          <w:szCs w:val="20"/>
        </w:rPr>
        <w:br/>
        <w:t>Alaska Department of Natural Resources</w:t>
      </w:r>
      <w:r w:rsidRPr="000C2960">
        <w:rPr>
          <w:rFonts w:ascii="Aptos Serif" w:hAnsi="Aptos Serif" w:cs="Aptos Serif"/>
          <w:sz w:val="20"/>
          <w:szCs w:val="20"/>
        </w:rPr>
        <w:br/>
        <w:t>Division of Oil and Gas</w:t>
      </w:r>
      <w:r w:rsidRPr="000C2960">
        <w:rPr>
          <w:rFonts w:ascii="Aptos Serif" w:hAnsi="Aptos Serif" w:cs="Aptos Serif"/>
          <w:sz w:val="20"/>
          <w:szCs w:val="20"/>
        </w:rPr>
        <w:br/>
        <w:t>550 West 7th Avenue, Suite 1100</w:t>
      </w:r>
      <w:r w:rsidRPr="000C2960">
        <w:rPr>
          <w:rFonts w:ascii="Aptos Serif" w:hAnsi="Aptos Serif" w:cs="Aptos Serif"/>
          <w:sz w:val="20"/>
          <w:szCs w:val="20"/>
        </w:rPr>
        <w:br/>
        <w:t>Anchorage, AK 99501</w:t>
      </w:r>
      <w:r w:rsidRPr="000C2960">
        <w:rPr>
          <w:rFonts w:ascii="Aptos Serif" w:hAnsi="Aptos Serif" w:cs="Aptos Serif"/>
          <w:sz w:val="20"/>
          <w:szCs w:val="20"/>
        </w:rPr>
        <w:br/>
        <w:t>dog.bif@alaska.gov</w:t>
      </w:r>
    </w:p>
    <w:p w14:paraId="6825867B" w14:textId="3B1BF7A4" w:rsidR="000C2960" w:rsidRPr="000C2960" w:rsidRDefault="000C2960" w:rsidP="000C2960">
      <w:pPr>
        <w:rPr>
          <w:rFonts w:ascii="Aptos Serif" w:hAnsi="Aptos Serif" w:cs="Aptos Serif"/>
          <w:sz w:val="20"/>
          <w:szCs w:val="20"/>
        </w:rPr>
      </w:pPr>
      <w:r w:rsidRPr="000C2960">
        <w:rPr>
          <w:rFonts w:ascii="Aptos Serif" w:hAnsi="Aptos Serif" w:cs="Aptos Serif"/>
          <w:b/>
          <w:bCs/>
          <w:sz w:val="20"/>
          <w:szCs w:val="20"/>
        </w:rPr>
        <w:t xml:space="preserve">Re: </w:t>
      </w:r>
      <w:r w:rsidR="009F7F5C" w:rsidRPr="009F7F5C">
        <w:rPr>
          <w:rFonts w:ascii="Aptos Serif" w:hAnsi="Aptos Serif" w:cs="Aptos Serif"/>
          <w:b/>
          <w:bCs/>
          <w:sz w:val="20"/>
          <w:szCs w:val="20"/>
        </w:rPr>
        <w:t xml:space="preserve">Comments of the </w:t>
      </w:r>
      <w:r w:rsidR="009F7F5C" w:rsidRPr="009F7F5C">
        <w:rPr>
          <w:rFonts w:ascii="Aptos Serif" w:hAnsi="Aptos Serif" w:cs="Aptos Serif"/>
          <w:b/>
          <w:bCs/>
          <w:sz w:val="20"/>
          <w:szCs w:val="20"/>
          <w:highlight w:val="yellow"/>
        </w:rPr>
        <w:t>[Tribal Government]</w:t>
      </w:r>
      <w:r w:rsidR="009F7F5C" w:rsidRPr="009F7F5C">
        <w:rPr>
          <w:rFonts w:ascii="Aptos Serif" w:hAnsi="Aptos Serif" w:cs="Aptos Serif"/>
          <w:b/>
          <w:bCs/>
          <w:sz w:val="20"/>
          <w:szCs w:val="20"/>
        </w:rPr>
        <w:t xml:space="preserve"> on the Director’s Preliminary Determination for Oil and Gas Exploration Licensing in the Yukon Flats Area</w:t>
      </w:r>
    </w:p>
    <w:p w14:paraId="02A50750" w14:textId="77777777" w:rsidR="000C2960" w:rsidRPr="000C2960" w:rsidRDefault="000C2960" w:rsidP="000C2960">
      <w:pPr>
        <w:rPr>
          <w:rFonts w:ascii="Aptos Serif" w:hAnsi="Aptos Serif" w:cs="Aptos Serif"/>
          <w:sz w:val="20"/>
          <w:szCs w:val="20"/>
        </w:rPr>
      </w:pPr>
      <w:r w:rsidRPr="000C2960">
        <w:rPr>
          <w:rFonts w:ascii="Aptos Serif" w:hAnsi="Aptos Serif" w:cs="Aptos Serif"/>
          <w:sz w:val="20"/>
          <w:szCs w:val="20"/>
        </w:rPr>
        <w:t>Dear Alaska Department of Natural Resources,</w:t>
      </w:r>
    </w:p>
    <w:p w14:paraId="207A4F59" w14:textId="77777777" w:rsidR="009F7F5C" w:rsidRPr="009F7F5C" w:rsidRDefault="009F7F5C" w:rsidP="009F7F5C">
      <w:pPr>
        <w:rPr>
          <w:rFonts w:ascii="Aptos Serif" w:hAnsi="Aptos Serif" w:cs="Aptos Serif"/>
          <w:sz w:val="20"/>
          <w:szCs w:val="20"/>
        </w:rPr>
      </w:pPr>
      <w:r w:rsidRPr="009F7F5C">
        <w:rPr>
          <w:rFonts w:ascii="Aptos Serif" w:hAnsi="Aptos Serif" w:cs="Aptos Serif"/>
          <w:sz w:val="20"/>
          <w:szCs w:val="20"/>
        </w:rPr>
        <w:t xml:space="preserve">The </w:t>
      </w:r>
      <w:r w:rsidRPr="009F7F5C">
        <w:rPr>
          <w:rFonts w:ascii="Aptos Serif" w:hAnsi="Aptos Serif" w:cs="Aptos Serif"/>
          <w:b/>
          <w:bCs/>
          <w:sz w:val="20"/>
          <w:szCs w:val="20"/>
          <w:highlight w:val="yellow"/>
        </w:rPr>
        <w:t>[Tribal Government]</w:t>
      </w:r>
      <w:r w:rsidRPr="009F7F5C">
        <w:rPr>
          <w:rFonts w:ascii="Aptos Serif" w:hAnsi="Aptos Serif" w:cs="Aptos Serif"/>
          <w:sz w:val="20"/>
          <w:szCs w:val="20"/>
          <w:highlight w:val="yellow"/>
        </w:rPr>
        <w:t>,</w:t>
      </w:r>
      <w:r w:rsidRPr="009F7F5C">
        <w:rPr>
          <w:rFonts w:ascii="Aptos Serif" w:hAnsi="Aptos Serif" w:cs="Aptos Serif"/>
          <w:sz w:val="20"/>
          <w:szCs w:val="20"/>
        </w:rPr>
        <w:t xml:space="preserve"> the federally recognized Tribe for the village </w:t>
      </w:r>
      <w:proofErr w:type="gramStart"/>
      <w:r w:rsidRPr="009F7F5C">
        <w:rPr>
          <w:rFonts w:ascii="Aptos Serif" w:hAnsi="Aptos Serif" w:cs="Aptos Serif"/>
          <w:sz w:val="20"/>
          <w:szCs w:val="20"/>
        </w:rPr>
        <w:t xml:space="preserve">of </w:t>
      </w:r>
      <w:r w:rsidRPr="009F7F5C">
        <w:rPr>
          <w:rFonts w:ascii="Aptos Serif" w:hAnsi="Aptos Serif" w:cs="Aptos Serif"/>
          <w:b/>
          <w:bCs/>
          <w:sz w:val="20"/>
          <w:szCs w:val="20"/>
          <w:highlight w:val="yellow"/>
        </w:rPr>
        <w:t>[Village Name],</w:t>
      </w:r>
      <w:proofErr w:type="gramEnd"/>
      <w:r w:rsidRPr="009F7F5C">
        <w:rPr>
          <w:rFonts w:ascii="Aptos Serif" w:hAnsi="Aptos Serif" w:cs="Aptos Serif"/>
          <w:b/>
          <w:bCs/>
          <w:sz w:val="20"/>
          <w:szCs w:val="20"/>
          <w:highlight w:val="yellow"/>
        </w:rPr>
        <w:t xml:space="preserve"> </w:t>
      </w:r>
      <w:r w:rsidRPr="009F7F5C">
        <w:rPr>
          <w:rFonts w:ascii="Aptos Serif" w:hAnsi="Aptos Serif" w:cs="Aptos Serif"/>
          <w:sz w:val="20"/>
          <w:szCs w:val="20"/>
          <w:highlight w:val="yellow"/>
        </w:rPr>
        <w:t>Alaska</w:t>
      </w:r>
      <w:r w:rsidRPr="009F7F5C">
        <w:rPr>
          <w:rFonts w:ascii="Aptos Serif" w:hAnsi="Aptos Serif" w:cs="Aptos Serif"/>
          <w:sz w:val="20"/>
          <w:szCs w:val="20"/>
        </w:rPr>
        <w:t xml:space="preserve">, respectfully submits the following comments regarding the March 4, </w:t>
      </w:r>
      <w:proofErr w:type="gramStart"/>
      <w:r w:rsidRPr="009F7F5C">
        <w:rPr>
          <w:rFonts w:ascii="Aptos Serif" w:hAnsi="Aptos Serif" w:cs="Aptos Serif"/>
          <w:sz w:val="20"/>
          <w:szCs w:val="20"/>
        </w:rPr>
        <w:t>2026</w:t>
      </w:r>
      <w:proofErr w:type="gramEnd"/>
      <w:r w:rsidRPr="009F7F5C">
        <w:rPr>
          <w:rFonts w:ascii="Aptos Serif" w:hAnsi="Aptos Serif" w:cs="Aptos Serif"/>
          <w:sz w:val="20"/>
          <w:szCs w:val="20"/>
        </w:rPr>
        <w:t xml:space="preserve"> Director’s Preliminary Determination proposing to make state lands within the Yukon Flats Area eligible for oil and gas exploration licensing.</w:t>
      </w:r>
    </w:p>
    <w:p w14:paraId="0F42CCD9" w14:textId="77777777" w:rsidR="009F7F5C" w:rsidRPr="009F7F5C" w:rsidRDefault="009F7F5C" w:rsidP="009F7F5C">
      <w:pPr>
        <w:rPr>
          <w:rFonts w:ascii="Aptos Serif" w:hAnsi="Aptos Serif" w:cs="Aptos Serif"/>
          <w:sz w:val="20"/>
          <w:szCs w:val="20"/>
        </w:rPr>
      </w:pPr>
      <w:r w:rsidRPr="009F7F5C">
        <w:rPr>
          <w:rFonts w:ascii="Aptos Serif" w:hAnsi="Aptos Serif" w:cs="Aptos Serif"/>
          <w:sz w:val="20"/>
          <w:szCs w:val="20"/>
        </w:rPr>
        <w:t>The Tribe is deeply concerned with the proposal to designate large areas of state land in the Yukon Flats region as eligible for oil and gas exploration licensing. The Yukon Flats is an ecologically significant and culturally important region that has supported Indigenous communities since time immemorial.</w:t>
      </w:r>
    </w:p>
    <w:p w14:paraId="10B94733" w14:textId="77777777" w:rsidR="009F7F5C" w:rsidRPr="009F7F5C" w:rsidRDefault="009F7F5C" w:rsidP="009F7F5C">
      <w:pPr>
        <w:rPr>
          <w:rFonts w:ascii="Aptos Serif" w:hAnsi="Aptos Serif" w:cs="Aptos Serif"/>
          <w:sz w:val="20"/>
          <w:szCs w:val="20"/>
        </w:rPr>
      </w:pPr>
      <w:r w:rsidRPr="009F7F5C">
        <w:rPr>
          <w:rFonts w:ascii="Aptos Serif" w:hAnsi="Aptos Serif" w:cs="Aptos Serif"/>
          <w:sz w:val="20"/>
          <w:szCs w:val="20"/>
        </w:rPr>
        <w:t xml:space="preserve">Tribal citizens of </w:t>
      </w:r>
      <w:r w:rsidRPr="009F7F5C">
        <w:rPr>
          <w:rFonts w:ascii="Aptos Serif" w:hAnsi="Aptos Serif" w:cs="Aptos Serif"/>
          <w:b/>
          <w:bCs/>
          <w:sz w:val="20"/>
          <w:szCs w:val="20"/>
          <w:highlight w:val="yellow"/>
        </w:rPr>
        <w:t>[Village Name]</w:t>
      </w:r>
      <w:r w:rsidRPr="009F7F5C">
        <w:rPr>
          <w:rFonts w:ascii="Aptos Serif" w:hAnsi="Aptos Serif" w:cs="Aptos Serif"/>
          <w:sz w:val="20"/>
          <w:szCs w:val="20"/>
        </w:rPr>
        <w:t xml:space="preserve"> maintain a traditional subsistence way of life in the Yukon Flats region. Residents rely heavily on locally harvested foods including salmon, whitefish, grayling, pike, and burbot, as well as terrestrial wildlife. These resources are essential to the food security, cultural practices, and economic resilience of Tribal members living in remote Interior Alaska communities.</w:t>
      </w:r>
    </w:p>
    <w:p w14:paraId="2EED2301" w14:textId="77777777" w:rsidR="009F7F5C" w:rsidRPr="009F7F5C" w:rsidRDefault="009F7F5C" w:rsidP="009F7F5C">
      <w:pPr>
        <w:rPr>
          <w:rFonts w:ascii="Aptos Serif" w:hAnsi="Aptos Serif" w:cs="Aptos Serif"/>
          <w:b/>
          <w:bCs/>
          <w:sz w:val="20"/>
          <w:szCs w:val="20"/>
        </w:rPr>
      </w:pPr>
      <w:r w:rsidRPr="009F7F5C">
        <w:rPr>
          <w:rFonts w:ascii="Aptos Serif" w:hAnsi="Aptos Serif" w:cs="Aptos Serif"/>
          <w:b/>
          <w:bCs/>
          <w:sz w:val="20"/>
          <w:szCs w:val="20"/>
        </w:rPr>
        <w:t>Fisheries and Water Resources</w:t>
      </w:r>
    </w:p>
    <w:p w14:paraId="5A64AF09" w14:textId="77777777" w:rsidR="009F7F5C" w:rsidRPr="009F7F5C" w:rsidRDefault="009F7F5C" w:rsidP="009F7F5C">
      <w:pPr>
        <w:rPr>
          <w:rFonts w:ascii="Aptos Serif" w:hAnsi="Aptos Serif" w:cs="Aptos Serif"/>
          <w:sz w:val="20"/>
          <w:szCs w:val="20"/>
        </w:rPr>
      </w:pPr>
      <w:r w:rsidRPr="009F7F5C">
        <w:rPr>
          <w:rFonts w:ascii="Aptos Serif" w:hAnsi="Aptos Serif" w:cs="Aptos Serif"/>
          <w:sz w:val="20"/>
          <w:szCs w:val="20"/>
        </w:rPr>
        <w:t>Fish and aquatic ecosystems are central to the subsistence lifeways of communities in the Yukon Flats region. Salmon historically provided a major component of the diet of residents, and non-anadromous fish species such as whitefish, grayling, pike, and burbot remain essential year-round food sources.</w:t>
      </w:r>
    </w:p>
    <w:p w14:paraId="639BC5A8" w14:textId="77777777" w:rsidR="009F7F5C" w:rsidRPr="009F7F5C" w:rsidRDefault="009F7F5C" w:rsidP="009F7F5C">
      <w:pPr>
        <w:rPr>
          <w:rFonts w:ascii="Aptos Serif" w:hAnsi="Aptos Serif" w:cs="Aptos Serif"/>
          <w:sz w:val="20"/>
          <w:szCs w:val="20"/>
        </w:rPr>
      </w:pPr>
      <w:r w:rsidRPr="009F7F5C">
        <w:rPr>
          <w:rFonts w:ascii="Aptos Serif" w:hAnsi="Aptos Serif" w:cs="Aptos Serif"/>
          <w:sz w:val="20"/>
          <w:szCs w:val="20"/>
        </w:rPr>
        <w:t xml:space="preserve">Oil and gas exploration activities may require water withdrawals, seismic exploration, infrastructure development, and other activities that can affect freshwater ecosystems. The waterways of the Yukon Flats support fish populations relied upon by </w:t>
      </w:r>
      <w:proofErr w:type="gramStart"/>
      <w:r w:rsidRPr="009F7F5C">
        <w:rPr>
          <w:rFonts w:ascii="Aptos Serif" w:hAnsi="Aptos Serif" w:cs="Aptos Serif"/>
          <w:sz w:val="20"/>
          <w:szCs w:val="20"/>
        </w:rPr>
        <w:t>local residents</w:t>
      </w:r>
      <w:proofErr w:type="gramEnd"/>
      <w:r w:rsidRPr="009F7F5C">
        <w:rPr>
          <w:rFonts w:ascii="Aptos Serif" w:hAnsi="Aptos Serif" w:cs="Aptos Serif"/>
          <w:sz w:val="20"/>
          <w:szCs w:val="20"/>
        </w:rPr>
        <w:t xml:space="preserve"> and serve as important habitat throughout the Yukon River watershed.</w:t>
      </w:r>
    </w:p>
    <w:p w14:paraId="69FAB29E" w14:textId="77777777" w:rsidR="009F7F5C" w:rsidRPr="009F7F5C" w:rsidRDefault="009F7F5C" w:rsidP="009F7F5C">
      <w:pPr>
        <w:rPr>
          <w:rFonts w:ascii="Aptos Serif" w:hAnsi="Aptos Serif" w:cs="Aptos Serif"/>
          <w:sz w:val="20"/>
          <w:szCs w:val="20"/>
        </w:rPr>
      </w:pPr>
      <w:r w:rsidRPr="009F7F5C">
        <w:rPr>
          <w:rFonts w:ascii="Aptos Serif" w:hAnsi="Aptos Serif" w:cs="Aptos Serif"/>
          <w:sz w:val="20"/>
          <w:szCs w:val="20"/>
        </w:rPr>
        <w:t>These same waterways are already experiencing environmental stress due to climate change, changing hydrology, and declining salmon populations. Additional industrial activity in the watershed could further impact fish habitat and water quality.</w:t>
      </w:r>
    </w:p>
    <w:p w14:paraId="51A34983" w14:textId="77777777" w:rsidR="009F7F5C" w:rsidRPr="009F7F5C" w:rsidRDefault="009F7F5C" w:rsidP="009F7F5C">
      <w:pPr>
        <w:rPr>
          <w:rFonts w:ascii="Aptos Serif" w:hAnsi="Aptos Serif" w:cs="Aptos Serif"/>
          <w:sz w:val="20"/>
          <w:szCs w:val="20"/>
        </w:rPr>
      </w:pPr>
      <w:r w:rsidRPr="009F7F5C">
        <w:rPr>
          <w:rFonts w:ascii="Aptos Serif" w:hAnsi="Aptos Serif" w:cs="Aptos Serif"/>
          <w:sz w:val="20"/>
          <w:szCs w:val="20"/>
        </w:rPr>
        <w:t>Before considering any exploration licensing in this region, the Department should evaluate the potential impacts to anadromous and resident fish habitat and consult the Alaska Department of Fish and Game Anadromous Waters Catalogue to identify waters that may be affected by exploration activities.</w:t>
      </w:r>
    </w:p>
    <w:p w14:paraId="004818EF" w14:textId="77777777" w:rsidR="009F7F5C" w:rsidRPr="009F7F5C" w:rsidRDefault="009F7F5C" w:rsidP="009F7F5C">
      <w:pPr>
        <w:rPr>
          <w:rFonts w:ascii="Aptos Serif" w:hAnsi="Aptos Serif" w:cs="Aptos Serif"/>
          <w:b/>
          <w:bCs/>
          <w:sz w:val="20"/>
          <w:szCs w:val="20"/>
        </w:rPr>
      </w:pPr>
      <w:r w:rsidRPr="009F7F5C">
        <w:rPr>
          <w:rFonts w:ascii="Aptos Serif" w:hAnsi="Aptos Serif" w:cs="Aptos Serif"/>
          <w:b/>
          <w:bCs/>
          <w:sz w:val="20"/>
          <w:szCs w:val="20"/>
        </w:rPr>
        <w:lastRenderedPageBreak/>
        <w:t>Consultation and Government-to-Government Engagement</w:t>
      </w:r>
    </w:p>
    <w:p w14:paraId="68F14357" w14:textId="77777777" w:rsidR="009F7F5C" w:rsidRPr="009F7F5C" w:rsidRDefault="009F7F5C" w:rsidP="009F7F5C">
      <w:pPr>
        <w:rPr>
          <w:rFonts w:ascii="Aptos Serif" w:hAnsi="Aptos Serif" w:cs="Aptos Serif"/>
          <w:sz w:val="20"/>
          <w:szCs w:val="20"/>
        </w:rPr>
      </w:pPr>
      <w:r w:rsidRPr="009F7F5C">
        <w:rPr>
          <w:rFonts w:ascii="Aptos Serif" w:hAnsi="Aptos Serif" w:cs="Aptos Serif"/>
          <w:sz w:val="20"/>
          <w:szCs w:val="20"/>
        </w:rPr>
        <w:t>The Tribe also emphasizes the importance of meaningful consultation with federally recognized Tribal governments. The State of Alaska has committed to working with Tribes on a government-to-government basis under Administrative Order No. 186.</w:t>
      </w:r>
    </w:p>
    <w:p w14:paraId="0AB15B7E" w14:textId="77777777" w:rsidR="009F7F5C" w:rsidRPr="009F7F5C" w:rsidRDefault="009F7F5C" w:rsidP="009F7F5C">
      <w:pPr>
        <w:rPr>
          <w:rFonts w:ascii="Aptos Serif" w:hAnsi="Aptos Serif" w:cs="Aptos Serif"/>
          <w:sz w:val="20"/>
          <w:szCs w:val="20"/>
        </w:rPr>
      </w:pPr>
      <w:r w:rsidRPr="009F7F5C">
        <w:rPr>
          <w:rFonts w:ascii="Aptos Serif" w:hAnsi="Aptos Serif" w:cs="Aptos Serif"/>
          <w:sz w:val="20"/>
          <w:szCs w:val="20"/>
        </w:rPr>
        <w:t>Early consultation with Tribes is essential to ensure that the potential impacts of exploration licensing on subsistence resources, cultural sites, and traditional land uses are properly understood before decisions are made that could affect Tribal communities.</w:t>
      </w:r>
    </w:p>
    <w:p w14:paraId="510FAE70" w14:textId="77777777" w:rsidR="009F7F5C" w:rsidRPr="009F7F5C" w:rsidRDefault="009F7F5C" w:rsidP="009F7F5C">
      <w:pPr>
        <w:rPr>
          <w:rFonts w:ascii="Aptos Serif" w:hAnsi="Aptos Serif" w:cs="Aptos Serif"/>
          <w:b/>
          <w:bCs/>
          <w:sz w:val="20"/>
          <w:szCs w:val="20"/>
        </w:rPr>
      </w:pPr>
      <w:r w:rsidRPr="009F7F5C">
        <w:rPr>
          <w:rFonts w:ascii="Aptos Serif" w:hAnsi="Aptos Serif" w:cs="Aptos Serif"/>
          <w:b/>
          <w:bCs/>
          <w:sz w:val="20"/>
          <w:szCs w:val="20"/>
        </w:rPr>
        <w:t>Conclusion</w:t>
      </w:r>
    </w:p>
    <w:p w14:paraId="61A3EB55" w14:textId="77777777" w:rsidR="009F7F5C" w:rsidRPr="009F7F5C" w:rsidRDefault="009F7F5C" w:rsidP="009F7F5C">
      <w:pPr>
        <w:rPr>
          <w:rFonts w:ascii="Aptos Serif" w:hAnsi="Aptos Serif" w:cs="Aptos Serif"/>
          <w:sz w:val="20"/>
          <w:szCs w:val="20"/>
        </w:rPr>
      </w:pPr>
      <w:r w:rsidRPr="009F7F5C">
        <w:rPr>
          <w:rFonts w:ascii="Aptos Serif" w:hAnsi="Aptos Serif" w:cs="Aptos Serif"/>
          <w:sz w:val="20"/>
          <w:szCs w:val="20"/>
        </w:rPr>
        <w:t xml:space="preserve">For these reasons, the </w:t>
      </w:r>
      <w:r w:rsidRPr="009F7F5C">
        <w:rPr>
          <w:rFonts w:ascii="Aptos Serif" w:hAnsi="Aptos Serif" w:cs="Aptos Serif"/>
          <w:b/>
          <w:bCs/>
          <w:sz w:val="20"/>
          <w:szCs w:val="20"/>
          <w:highlight w:val="yellow"/>
        </w:rPr>
        <w:t>[Tribal Government]</w:t>
      </w:r>
      <w:r w:rsidRPr="009F7F5C">
        <w:rPr>
          <w:rFonts w:ascii="Aptos Serif" w:hAnsi="Aptos Serif" w:cs="Aptos Serif"/>
          <w:b/>
          <w:bCs/>
          <w:sz w:val="20"/>
          <w:szCs w:val="20"/>
        </w:rPr>
        <w:t xml:space="preserve"> </w:t>
      </w:r>
      <w:r w:rsidRPr="009F7F5C">
        <w:rPr>
          <w:rFonts w:ascii="Aptos Serif" w:hAnsi="Aptos Serif" w:cs="Aptos Serif"/>
          <w:sz w:val="20"/>
          <w:szCs w:val="20"/>
        </w:rPr>
        <w:t>respectfully requests that the Department of Natural Resources reconsider the proposal to designate Yukon Flats state lands as eligible for oil and gas exploration licensing.</w:t>
      </w:r>
    </w:p>
    <w:p w14:paraId="68880440" w14:textId="77777777" w:rsidR="009F7F5C" w:rsidRPr="009F7F5C" w:rsidRDefault="009F7F5C" w:rsidP="009F7F5C">
      <w:pPr>
        <w:rPr>
          <w:rFonts w:ascii="Aptos Serif" w:hAnsi="Aptos Serif" w:cs="Aptos Serif"/>
          <w:sz w:val="20"/>
          <w:szCs w:val="20"/>
        </w:rPr>
      </w:pPr>
      <w:r w:rsidRPr="009F7F5C">
        <w:rPr>
          <w:rFonts w:ascii="Aptos Serif" w:hAnsi="Aptos Serif" w:cs="Aptos Serif"/>
          <w:sz w:val="20"/>
          <w:szCs w:val="20"/>
        </w:rPr>
        <w:t>The Yukon Flats region provides irreplaceable ecological, cultural, and subsistence values that should be carefully protected for future generations.</w:t>
      </w:r>
    </w:p>
    <w:p w14:paraId="46A19122" w14:textId="77777777" w:rsidR="009F7F5C" w:rsidRPr="009F7F5C" w:rsidRDefault="009F7F5C" w:rsidP="009F7F5C">
      <w:pPr>
        <w:rPr>
          <w:rFonts w:ascii="Aptos Serif" w:hAnsi="Aptos Serif" w:cs="Aptos Serif"/>
          <w:sz w:val="20"/>
          <w:szCs w:val="20"/>
        </w:rPr>
      </w:pPr>
      <w:r w:rsidRPr="009F7F5C">
        <w:rPr>
          <w:rFonts w:ascii="Aptos Serif" w:hAnsi="Aptos Serif" w:cs="Aptos Serif"/>
          <w:sz w:val="20"/>
          <w:szCs w:val="20"/>
        </w:rPr>
        <w:t>Sincerely,</w:t>
      </w:r>
    </w:p>
    <w:p w14:paraId="3F498F88" w14:textId="77777777" w:rsidR="009F7F5C" w:rsidRPr="009F7F5C" w:rsidRDefault="009F7F5C" w:rsidP="009F7F5C">
      <w:pPr>
        <w:rPr>
          <w:rFonts w:ascii="Aptos Serif" w:hAnsi="Aptos Serif" w:cs="Aptos Serif"/>
          <w:sz w:val="20"/>
          <w:szCs w:val="20"/>
        </w:rPr>
      </w:pPr>
      <w:r w:rsidRPr="009F7F5C">
        <w:rPr>
          <w:rFonts w:ascii="Aptos Serif" w:hAnsi="Aptos Serif" w:cs="Aptos Serif"/>
          <w:b/>
          <w:bCs/>
          <w:sz w:val="20"/>
          <w:szCs w:val="20"/>
        </w:rPr>
        <w:t>[Name]</w:t>
      </w:r>
      <w:r w:rsidRPr="009F7F5C">
        <w:rPr>
          <w:rFonts w:ascii="Aptos Serif" w:hAnsi="Aptos Serif" w:cs="Aptos Serif"/>
          <w:sz w:val="20"/>
          <w:szCs w:val="20"/>
        </w:rPr>
        <w:br/>
      </w:r>
      <w:r w:rsidRPr="009F7F5C">
        <w:rPr>
          <w:rFonts w:ascii="Aptos Serif" w:hAnsi="Aptos Serif" w:cs="Aptos Serif"/>
          <w:b/>
          <w:bCs/>
          <w:sz w:val="20"/>
          <w:szCs w:val="20"/>
        </w:rPr>
        <w:t>[Title]</w:t>
      </w:r>
      <w:r w:rsidRPr="009F7F5C">
        <w:rPr>
          <w:rFonts w:ascii="Aptos Serif" w:hAnsi="Aptos Serif" w:cs="Aptos Serif"/>
          <w:sz w:val="20"/>
          <w:szCs w:val="20"/>
        </w:rPr>
        <w:br/>
      </w:r>
      <w:r w:rsidRPr="009F7F5C">
        <w:rPr>
          <w:rFonts w:ascii="Aptos Serif" w:hAnsi="Aptos Serif" w:cs="Aptos Serif"/>
          <w:b/>
          <w:bCs/>
          <w:sz w:val="20"/>
          <w:szCs w:val="20"/>
        </w:rPr>
        <w:t>[Tribal Government]</w:t>
      </w:r>
    </w:p>
    <w:p w14:paraId="6F803C7A" w14:textId="277DCEFC" w:rsidR="00951BDB" w:rsidRPr="000C2960" w:rsidRDefault="00951BDB" w:rsidP="009F7F5C">
      <w:pPr>
        <w:rPr>
          <w:rFonts w:ascii="Aptos Serif" w:hAnsi="Aptos Serif" w:cs="Aptos Serif"/>
          <w:sz w:val="20"/>
          <w:szCs w:val="20"/>
        </w:rPr>
      </w:pPr>
    </w:p>
    <w:sectPr w:rsidR="00951BDB" w:rsidRPr="000C29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Serif">
    <w:charset w:val="00"/>
    <w:family w:val="roman"/>
    <w:pitch w:val="variable"/>
    <w:sig w:usb0="A11526FF" w:usb1="C000ECFB" w:usb2="0001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960"/>
    <w:rsid w:val="000C2960"/>
    <w:rsid w:val="00646820"/>
    <w:rsid w:val="00951BDB"/>
    <w:rsid w:val="009F7F5C"/>
    <w:rsid w:val="00EA6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64AB5"/>
  <w15:chartTrackingRefBased/>
  <w15:docId w15:val="{7BED69CF-24BB-4E4D-B14D-4D0BB734C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9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29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29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29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29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29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9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9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9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9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29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29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29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29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29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9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9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960"/>
    <w:rPr>
      <w:rFonts w:eastAsiaTheme="majorEastAsia" w:cstheme="majorBidi"/>
      <w:color w:val="272727" w:themeColor="text1" w:themeTint="D8"/>
    </w:rPr>
  </w:style>
  <w:style w:type="paragraph" w:styleId="Title">
    <w:name w:val="Title"/>
    <w:basedOn w:val="Normal"/>
    <w:next w:val="Normal"/>
    <w:link w:val="TitleChar"/>
    <w:uiPriority w:val="10"/>
    <w:qFormat/>
    <w:rsid w:val="000C29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9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9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9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960"/>
    <w:pPr>
      <w:spacing w:before="160"/>
      <w:jc w:val="center"/>
    </w:pPr>
    <w:rPr>
      <w:i/>
      <w:iCs/>
      <w:color w:val="404040" w:themeColor="text1" w:themeTint="BF"/>
    </w:rPr>
  </w:style>
  <w:style w:type="character" w:customStyle="1" w:styleId="QuoteChar">
    <w:name w:val="Quote Char"/>
    <w:basedOn w:val="DefaultParagraphFont"/>
    <w:link w:val="Quote"/>
    <w:uiPriority w:val="29"/>
    <w:rsid w:val="000C2960"/>
    <w:rPr>
      <w:i/>
      <w:iCs/>
      <w:color w:val="404040" w:themeColor="text1" w:themeTint="BF"/>
    </w:rPr>
  </w:style>
  <w:style w:type="paragraph" w:styleId="ListParagraph">
    <w:name w:val="List Paragraph"/>
    <w:basedOn w:val="Normal"/>
    <w:uiPriority w:val="34"/>
    <w:qFormat/>
    <w:rsid w:val="000C2960"/>
    <w:pPr>
      <w:ind w:left="720"/>
      <w:contextualSpacing/>
    </w:pPr>
  </w:style>
  <w:style w:type="character" w:styleId="IntenseEmphasis">
    <w:name w:val="Intense Emphasis"/>
    <w:basedOn w:val="DefaultParagraphFont"/>
    <w:uiPriority w:val="21"/>
    <w:qFormat/>
    <w:rsid w:val="000C2960"/>
    <w:rPr>
      <w:i/>
      <w:iCs/>
      <w:color w:val="0F4761" w:themeColor="accent1" w:themeShade="BF"/>
    </w:rPr>
  </w:style>
  <w:style w:type="paragraph" w:styleId="IntenseQuote">
    <w:name w:val="Intense Quote"/>
    <w:basedOn w:val="Normal"/>
    <w:next w:val="Normal"/>
    <w:link w:val="IntenseQuoteChar"/>
    <w:uiPriority w:val="30"/>
    <w:qFormat/>
    <w:rsid w:val="000C29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2960"/>
    <w:rPr>
      <w:i/>
      <w:iCs/>
      <w:color w:val="0F4761" w:themeColor="accent1" w:themeShade="BF"/>
    </w:rPr>
  </w:style>
  <w:style w:type="character" w:styleId="IntenseReference">
    <w:name w:val="Intense Reference"/>
    <w:basedOn w:val="DefaultParagraphFont"/>
    <w:uiPriority w:val="32"/>
    <w:qFormat/>
    <w:rsid w:val="000C29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538</Words>
  <Characters>3073</Characters>
  <Application>Microsoft Office Word</Application>
  <DocSecurity>0</DocSecurity>
  <Lines>25</Lines>
  <Paragraphs>7</Paragraphs>
  <ScaleCrop>false</ScaleCrop>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President</dc:creator>
  <cp:keywords/>
  <dc:description/>
  <cp:lastModifiedBy>President</cp:lastModifiedBy>
  <cp:revision>2</cp:revision>
  <dcterms:created xsi:type="dcterms:W3CDTF">2026-03-10T22:20:00Z</dcterms:created>
  <dcterms:modified xsi:type="dcterms:W3CDTF">2026-03-10T22:20:00Z</dcterms:modified>
</cp:coreProperties>
</file>